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8D" w:rsidRDefault="00BD123C" w:rsidP="00E2718D">
      <w:pPr>
        <w:jc w:val="center"/>
        <w:rPr>
          <w:rStyle w:val="20"/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0" w:name="bookmark140"/>
      <w:bookmarkStart w:id="1" w:name="_GoBack"/>
      <w:r>
        <w:rPr>
          <w:rStyle w:val="20"/>
          <w:rFonts w:ascii="Times New Roman" w:hAnsi="Times New Roman" w:cs="Times New Roman"/>
          <w:bCs w:val="0"/>
          <w:color w:val="000000"/>
          <w:sz w:val="28"/>
          <w:szCs w:val="28"/>
        </w:rPr>
        <w:t>ЛЕКЦІЯ 9</w:t>
      </w:r>
      <w:r w:rsidRPr="003052DE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bCs w:val="0"/>
          <w:color w:val="000000"/>
          <w:sz w:val="28"/>
          <w:szCs w:val="28"/>
        </w:rPr>
        <w:t>П</w:t>
      </w:r>
      <w:r w:rsidRPr="00983426">
        <w:rPr>
          <w:rStyle w:val="20"/>
          <w:rFonts w:ascii="Times New Roman" w:hAnsi="Times New Roman" w:cs="Times New Roman"/>
          <w:bCs w:val="0"/>
          <w:color w:val="000000"/>
          <w:sz w:val="28"/>
          <w:szCs w:val="28"/>
        </w:rPr>
        <w:t>РАВОВЕ РЕГУЛЮВАННЯ ДЕРЖАВН</w:t>
      </w:r>
      <w:r>
        <w:rPr>
          <w:rStyle w:val="20"/>
          <w:rFonts w:ascii="Times New Roman" w:hAnsi="Times New Roman" w:cs="Times New Roman"/>
          <w:bCs w:val="0"/>
          <w:color w:val="000000"/>
          <w:sz w:val="28"/>
          <w:szCs w:val="28"/>
        </w:rPr>
        <w:t>ОГО КРЕДИТУ І ДЕРЖАВНОГО БОРГУ</w:t>
      </w:r>
      <w:bookmarkEnd w:id="0"/>
    </w:p>
    <w:bookmarkEnd w:id="1"/>
    <w:p w:rsidR="00E2718D" w:rsidRPr="00E2718D" w:rsidRDefault="00E2718D" w:rsidP="00E2718D">
      <w:pPr>
        <w:pStyle w:val="31"/>
        <w:numPr>
          <w:ilvl w:val="0"/>
          <w:numId w:val="9"/>
        </w:numPr>
        <w:shd w:val="clear" w:color="auto" w:fill="auto"/>
        <w:tabs>
          <w:tab w:val="left" w:pos="592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30"/>
          <w:rFonts w:ascii="Times New Roman" w:hAnsi="Times New Roman" w:cs="Times New Roman"/>
          <w:color w:val="000000"/>
          <w:sz w:val="28"/>
          <w:szCs w:val="28"/>
        </w:rPr>
        <w:t>Загальна характеристика державних та місцевих запозичень.</w:t>
      </w:r>
    </w:p>
    <w:p w:rsidR="00E2718D" w:rsidRPr="00E2718D" w:rsidRDefault="00E2718D" w:rsidP="00E2718D">
      <w:pPr>
        <w:pStyle w:val="31"/>
        <w:numPr>
          <w:ilvl w:val="0"/>
          <w:numId w:val="9"/>
        </w:numPr>
        <w:shd w:val="clear" w:color="auto" w:fill="auto"/>
        <w:tabs>
          <w:tab w:val="left" w:pos="607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30"/>
          <w:rFonts w:ascii="Times New Roman" w:hAnsi="Times New Roman" w:cs="Times New Roman"/>
          <w:color w:val="000000"/>
          <w:sz w:val="28"/>
          <w:szCs w:val="28"/>
        </w:rPr>
        <w:t>Поняття державного кредиту</w:t>
      </w:r>
      <w:r w:rsidRPr="00E2718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2718D">
        <w:rPr>
          <w:rStyle w:val="30"/>
          <w:rFonts w:ascii="Times New Roman" w:hAnsi="Times New Roman" w:cs="Times New Roman"/>
          <w:color w:val="000000"/>
          <w:sz w:val="28"/>
          <w:szCs w:val="28"/>
        </w:rPr>
        <w:t>Види і форми державного боргу</w:t>
      </w:r>
      <w:r w:rsidRPr="00E2718D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18D" w:rsidRPr="00E2718D" w:rsidRDefault="00E2718D" w:rsidP="00E2718D">
      <w:pPr>
        <w:pStyle w:val="31"/>
        <w:numPr>
          <w:ilvl w:val="0"/>
          <w:numId w:val="9"/>
        </w:numPr>
        <w:shd w:val="clear" w:color="auto" w:fill="auto"/>
        <w:tabs>
          <w:tab w:val="left" w:pos="607"/>
        </w:tabs>
        <w:spacing w:line="240" w:lineRule="auto"/>
        <w:ind w:firstLine="320"/>
        <w:jc w:val="both"/>
        <w:rPr>
          <w:rStyle w:val="3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2718D">
        <w:rPr>
          <w:rStyle w:val="30"/>
          <w:rFonts w:ascii="Times New Roman" w:hAnsi="Times New Roman" w:cs="Times New Roman"/>
          <w:color w:val="000000"/>
          <w:sz w:val="28"/>
          <w:szCs w:val="28"/>
        </w:rPr>
        <w:t>Правові основи місцевих запозичень.</w:t>
      </w:r>
    </w:p>
    <w:p w:rsidR="00E2718D" w:rsidRPr="00E2718D" w:rsidRDefault="00E2718D" w:rsidP="00E2718D">
      <w:pPr>
        <w:pStyle w:val="31"/>
        <w:shd w:val="clear" w:color="auto" w:fill="auto"/>
        <w:tabs>
          <w:tab w:val="left" w:pos="607"/>
        </w:tabs>
        <w:spacing w:line="24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</w:p>
    <w:p w:rsidR="00E2718D" w:rsidRPr="00E2718D" w:rsidRDefault="00E2718D" w:rsidP="00E2718D">
      <w:pPr>
        <w:pStyle w:val="21"/>
        <w:keepNext/>
        <w:keepLines/>
        <w:numPr>
          <w:ilvl w:val="0"/>
          <w:numId w:val="10"/>
        </w:numPr>
        <w:shd w:val="clear" w:color="auto" w:fill="auto"/>
        <w:tabs>
          <w:tab w:val="left" w:pos="1418"/>
          <w:tab w:val="left" w:pos="2280"/>
        </w:tabs>
        <w:spacing w:before="0" w:after="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bookmarkStart w:id="2" w:name="bookmark148"/>
      <w:r w:rsidRPr="00E2718D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t>Загальна характеристика державних та місцевих запозичень</w:t>
      </w:r>
      <w:bookmarkEnd w:id="2"/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Поняття державних та місцевих за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позичень розглядають в економіч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ному та правовому аспектах. Економі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чна сутність державних та місце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вих запозичень полягає в залученні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тимчасово вільних коштів юридич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них і фізичних осіб.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З юридичної точки зору державні та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місцеві запозичення - це урегу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льовані правовими нормами суспільн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і відносини щодо акумуляції дер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жавою, органами місцевого самоврядування тимчасово вільних коштів юридичних та фізичних осіб на умовах добр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овільності, строковості, </w:t>
      </w:r>
      <w:proofErr w:type="spellStart"/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від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платності</w:t>
      </w:r>
      <w:proofErr w:type="spellEnd"/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з метою покриття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дефіциту, регулювання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>грошо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обігу. Здійснення державних і місцевих запозичень призводить до утворення державного (або місцевого) боргу.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Розрізняють дві форми запозичень: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публічні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(державні, місцеві) та 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>при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ватні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(банківські). Залежно від позичальника державний (та місцевий) борг складається з усіх випущених і неп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огашених зобов’язань, що виника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ють на підставі законодавства або договору гарантій за кредитами.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Право на здійснення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державних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внутрішніх та зовнішніх запози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чень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належить державі в особі члена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Кабінету Міністрів України. Вер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ховна Рада АРК та міські ради мають право здійснювати 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>місцеві вну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трішні запозичення. Місцеві зовнішні запозичення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можуть здійснювати лише ВР АРК, Київська, Севастопольська, міські ради міст обласного значення. При цьому місцеві зовнішні запозичення шляхом отримання кредитів (позик) від міжнародних фін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ансових організацій можуть здій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снювати всі міські ради.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Право на здійснення місцевих запозичень належить А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РК, </w:t>
      </w:r>
      <w:proofErr w:type="spellStart"/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територи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альній</w:t>
      </w:r>
      <w:proofErr w:type="spellEnd"/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громаді міста в особі керівника місцевого фінансового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органу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за дорученням ВР АРК, міської ради.</w:t>
      </w:r>
    </w:p>
    <w:p w:rsid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Style w:val="23"/>
          <w:rFonts w:ascii="Times New Roman" w:hAnsi="Times New Roman" w:cs="Times New Roman"/>
          <w:color w:val="000000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Бюджетна установа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не має права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здійснювати запозичення у будь-якій формі або надавати юридичним чи фізичним особам кредити з бюджету.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E2718D" w:rsidRPr="00E2718D" w:rsidRDefault="00E2718D" w:rsidP="00E2718D">
      <w:pPr>
        <w:pStyle w:val="21"/>
        <w:keepNext/>
        <w:keepLines/>
        <w:numPr>
          <w:ilvl w:val="0"/>
          <w:numId w:val="10"/>
        </w:numPr>
        <w:shd w:val="clear" w:color="auto" w:fill="auto"/>
        <w:tabs>
          <w:tab w:val="left" w:pos="993"/>
          <w:tab w:val="left" w:pos="204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149"/>
      <w:r w:rsidRPr="00E2718D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t>Поняття державного кредиту.</w:t>
      </w:r>
      <w:bookmarkEnd w:id="3"/>
    </w:p>
    <w:p w:rsidR="00E2718D" w:rsidRPr="00E2718D" w:rsidRDefault="00E2718D" w:rsidP="00E2718D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50"/>
      <w:r w:rsidRPr="00E2718D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t>Види і форми державного боргу</w:t>
      </w:r>
      <w:bookmarkEnd w:id="4"/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Інститут кредитування є однією із найбільш розроблених категорій в правовій науці, що не може викликати будь-якого подиву з огляду на його місце у фінансовій системі держави та значення у життєдіяльності всього суспільства. Однак щодо категорій “кредит” та “кредитування” загальноприйнятого визначення у пра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цях дослідників-правознавців не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має, а відповідно, у спеціальній літературі є досить багато різних визна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softHyphen/>
        <w:t>чень поняття кредиту.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Так, кредит визначається як надання грошей або товарів у борг на визначений строк на умовах </w:t>
      </w:r>
      <w:proofErr w:type="spellStart"/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відплатності</w:t>
      </w:r>
      <w:proofErr w:type="spellEnd"/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та повернення. У деяких працях міститься спроба визначити п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оняття кредиту через характерис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тику відносин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lastRenderedPageBreak/>
        <w:t>між позичальником і кредитором з приводу поверненого руху вартості. Інші автори стоять на позиції, що кредит - це засноване на кредитному правочині зобов’язання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однієї особи - кредитора з при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воду передачі у власність іншій особ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і - позичальнику додаткової пла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тоспроможності, вираженої у грошовій формі, і зустрічне зобов’язання позичальника в майбутньому повернути борг та сплатити процент.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Класифікацію форм і видів кредиту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слід здійснювати за кожним юридично значимим критерієм. Однак перш за все потрібно здійснити аналіз нормативних способів класифікації. Так, зокрема, згідно зі ст. 347 Господарського кодексу України, у с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фері господарювання можуть вико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ристовуватися банківський, комерційний, лізинговий, іпотечний та інші форми кредиту</w:t>
      </w:r>
      <w:r w:rsidRPr="00E2718D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Крім того, там же заз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начено, що кредити, які надають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ся банками, різняться за: строками користування (короткострокові - до одного року, середньострокові - до трьох років, довгострокові - понад три роки); способом забезпечення;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ступенем ризику; методами надан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ня; строками погашення; іншими умовами надання, користування або погашення.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За суб</w:t>
      </w:r>
      <w:r w:rsidRPr="00E2718D">
        <w:rPr>
          <w:rStyle w:val="220"/>
          <w:rFonts w:ascii="Times New Roman" w:hAnsi="Times New Roman" w:cs="Times New Roman"/>
          <w:color w:val="000000"/>
          <w:sz w:val="28"/>
          <w:szCs w:val="28"/>
        </w:rPr>
        <w:t>’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єктним складом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виділяються такі кредити: комерційний, бан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softHyphen/>
        <w:t>ківський, державний, ломбардний, наданий кредитним союзом тощо. Найбільш поширеними є банківські та державні кредити.</w:t>
      </w:r>
    </w:p>
    <w:p w:rsidR="00E2718D" w:rsidRPr="00E2718D" w:rsidRDefault="00E2718D" w:rsidP="00E2718D">
      <w:pPr>
        <w:pStyle w:val="9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9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Особливостями державного кредиту є:</w:t>
      </w:r>
    </w:p>
    <w:p w:rsidR="00E2718D" w:rsidRPr="00E2718D" w:rsidRDefault="00E2718D" w:rsidP="00E2718D">
      <w:pPr>
        <w:pStyle w:val="210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має публічну мету (спрямований на забезпечення загальнодержав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softHyphen/>
        <w:t>них потреб, досягнення балансу між доходами і видатками бюджету) та регулюється нормами фінансового права;</w:t>
      </w:r>
    </w:p>
    <w:p w:rsidR="00E2718D" w:rsidRPr="00E2718D" w:rsidRDefault="00E2718D" w:rsidP="00E2718D">
      <w:pPr>
        <w:pStyle w:val="210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однією зі сторін обов’язково виступає держава;</w:t>
      </w:r>
    </w:p>
    <w:p w:rsidR="00E2718D" w:rsidRPr="00E2718D" w:rsidRDefault="00E2718D" w:rsidP="00E2718D">
      <w:pPr>
        <w:pStyle w:val="210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має непродуктивний характер (гр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ошові кошти, як правило, спрямо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вані на покриття бюджетного дефіциту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та не беруть участі у матеріаль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ному виробництві);</w:t>
      </w:r>
    </w:p>
    <w:p w:rsidR="00E2718D" w:rsidRPr="00E2718D" w:rsidRDefault="00E2718D" w:rsidP="00E2718D">
      <w:pPr>
        <w:pStyle w:val="210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спричиняє виникнення державного боргу</w:t>
      </w:r>
      <w:r w:rsidRPr="00E2718D">
        <w:rPr>
          <w:rStyle w:val="2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Кабінет Міністрів України визначає умови здійснення державних запозичень, у тому числі вид, валюту,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строк та відсоткову ставку дер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жавного запозичення. У разі зменшення обсягу коштів від державних внутрішніх (зовнішніх) запозичень порівняно з обсягом, визначеним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>коном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про Державний бюджет України, у зв’язку з погіршенням умов таких запозичень та/або кон’юнктури фінансового ринку допускається збільшення обсягу коштів від держав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них зовнішніх (внутрішніх) запо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зичень з дотриманням граничного обсягу державного боргу.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Важливо підкреслити, що ця діяльн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ість Кабінету Міністрів здійсню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ється в межах, визначених Верховною Р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адою України. Так, у ст. 16 Бюд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жетного кодексу України підкреслюється, що державні запозичення здійснюються в межах, визначених законом про Державний бюджет України, з дотриманням граничного обсягу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державного боргу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на кінець бюджетного періоду</w:t>
      </w:r>
      <w:r w:rsidRPr="00E2718D">
        <w:rPr>
          <w:rStyle w:val="2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Загальний обсяг державного боргу та гарантованого де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ржавою бор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гу на кінець бюджетного періоду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не може перевищувати 60%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річного номінального обсягу валового внутрішнього продукту України.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Загальний обсяг місцевого боргу та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гарантованого АРК чи </w:t>
      </w:r>
      <w:proofErr w:type="spellStart"/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територи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альною</w:t>
      </w:r>
      <w:proofErr w:type="spellEnd"/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громадою боргу станом на кінець бюджетного періоду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не може перевищувати 200% (для міста Києва - 400%)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середньорічного інди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кативного прогнозного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lastRenderedPageBreak/>
        <w:t>обсягу надхо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джень бюджету розвитку, визначе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ного прогнозом відповідного місцевог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о бюджету на наступні за плано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вим два бюджетні періоди.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Кредити від іноземних держав, бан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ків і міжнародних фінансових ор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ганізацій для реалізації інвестиційних програм (проектів) залучаються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державою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на підставі міжнародних договорів України і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належать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до державних зовнішніх запозичень. Кош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ти для реалізації таких інвести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ційних програм, а також витрати на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обслуговування та погашення від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повідних кредитів (позик) передбачаються у законі про Державний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бюд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  <w:lang w:val="ru-RU" w:eastAsia="ru-RU"/>
        </w:rPr>
        <w:t>жет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України протягом усього строку дії кредитних договорів. Відповідні міжнародні договори не потребують ратифікації, якщо інше не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встанов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лено законом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З метою забезпечення дотримання граничних обсягів державного (місцевого) боргу, Міністерство фінансів веде 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>Реєстр державного бор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гу, Реєстр державних гарантій,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а також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Реєстр місцевих запозичень та місцевих гарантій.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Суб’єктом правовідносин по держа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вному кредиту є також Національ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ний банк України, що готує пропозиції Кабінету Міністрів для політики у цій сфері, виконує операції з обслуговування, розміщення боргових зобов’язань, їх погашення і виплати доходів кредиторам.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Законодавче визначення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державного боргу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закріплене в ст. 2 Бюд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жетного кодексу України як загальна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сума боргових зобов’язань держа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ви з повернення отриманих та непогашених кредитів (позик) станом на звітну дату, що виникають внаслідок державного запозичення.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Як об’єкт правовідносин з державного кредитування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державний борг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можна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класифікувати за різними підставами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За строком дії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розрізняють короткостроковий (до одного року), середньостроковий (від одного до п’яти ро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ків) і довгостроковий (5 і біль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ше років).</w:t>
      </w:r>
    </w:p>
    <w:p w:rsidR="00E2718D" w:rsidRPr="00E2718D" w:rsidRDefault="00E2718D" w:rsidP="00E2718D">
      <w:pPr>
        <w:pStyle w:val="210"/>
        <w:numPr>
          <w:ilvl w:val="0"/>
          <w:numId w:val="11"/>
        </w:numPr>
        <w:shd w:val="clear" w:color="auto" w:fill="auto"/>
        <w:tabs>
          <w:tab w:val="left" w:pos="604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територіальністю</w:t>
      </w:r>
      <w:proofErr w:type="spellEnd"/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поділяється на:</w:t>
      </w:r>
    </w:p>
    <w:p w:rsidR="00E2718D" w:rsidRPr="00E2718D" w:rsidRDefault="00E2718D" w:rsidP="00E2718D">
      <w:pPr>
        <w:pStyle w:val="210"/>
        <w:numPr>
          <w:ilvl w:val="0"/>
          <w:numId w:val="1"/>
        </w:numPr>
        <w:shd w:val="clear" w:color="auto" w:fill="auto"/>
        <w:tabs>
          <w:tab w:val="left" w:pos="485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зовнішній державний борг - це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борг іноземним державам, органі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заціям і особам;</w:t>
      </w:r>
    </w:p>
    <w:p w:rsidR="00E2718D" w:rsidRPr="00E2718D" w:rsidRDefault="00E2718D" w:rsidP="00E2718D">
      <w:pPr>
        <w:pStyle w:val="210"/>
        <w:numPr>
          <w:ilvl w:val="0"/>
          <w:numId w:val="1"/>
        </w:numPr>
        <w:shd w:val="clear" w:color="auto" w:fill="auto"/>
        <w:tabs>
          <w:tab w:val="left" w:pos="485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внутрішній державний борг - це борг держави своєму населенню (юридичним і фізичним особам).</w:t>
      </w:r>
    </w:p>
    <w:p w:rsidR="00E2718D" w:rsidRPr="00E2718D" w:rsidRDefault="00E2718D" w:rsidP="00E2718D">
      <w:pPr>
        <w:pStyle w:val="91"/>
        <w:numPr>
          <w:ilvl w:val="0"/>
          <w:numId w:val="11"/>
        </w:numPr>
        <w:shd w:val="clear" w:color="auto" w:fill="auto"/>
        <w:tabs>
          <w:tab w:val="left" w:pos="6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9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Залежно від виду виплат:</w:t>
      </w:r>
    </w:p>
    <w:p w:rsidR="00E2718D" w:rsidRPr="00E2718D" w:rsidRDefault="00E2718D" w:rsidP="00E2718D">
      <w:pPr>
        <w:pStyle w:val="210"/>
        <w:numPr>
          <w:ilvl w:val="0"/>
          <w:numId w:val="1"/>
        </w:numPr>
        <w:shd w:val="clear" w:color="auto" w:fill="auto"/>
        <w:tabs>
          <w:tab w:val="left" w:pos="485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капітальний борг, який включає усю суму випущених та непогаше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softHyphen/>
        <w:t>них зобов’язань з процентами по них;</w:t>
      </w:r>
    </w:p>
    <w:p w:rsidR="00E2718D" w:rsidRPr="00E2718D" w:rsidRDefault="00E2718D" w:rsidP="00E2718D">
      <w:pPr>
        <w:pStyle w:val="210"/>
        <w:numPr>
          <w:ilvl w:val="0"/>
          <w:numId w:val="1"/>
        </w:numPr>
        <w:shd w:val="clear" w:color="auto" w:fill="auto"/>
        <w:tabs>
          <w:tab w:val="left" w:pos="485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поточний борг, який включає лише витрати, пов’язані з виплатою процентів по боргових зобов’язаннях, та ті боргові зобов’язання, строк погашення яких наступив.</w:t>
      </w:r>
    </w:p>
    <w:p w:rsidR="00E2718D" w:rsidRPr="00E2718D" w:rsidRDefault="00E2718D" w:rsidP="00E2718D">
      <w:pPr>
        <w:pStyle w:val="210"/>
        <w:numPr>
          <w:ilvl w:val="0"/>
          <w:numId w:val="11"/>
        </w:numPr>
        <w:shd w:val="clear" w:color="auto" w:fill="auto"/>
        <w:tabs>
          <w:tab w:val="left" w:pos="604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За формою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державні боргові зобов’язання поділяються на:</w:t>
      </w:r>
    </w:p>
    <w:p w:rsidR="00E2718D" w:rsidRPr="00E2718D" w:rsidRDefault="00E2718D" w:rsidP="00E2718D">
      <w:pPr>
        <w:pStyle w:val="210"/>
        <w:shd w:val="clear" w:color="auto" w:fill="auto"/>
        <w:tabs>
          <w:tab w:val="left" w:pos="614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а)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  <w:t>облігації внутрішніх державних позик;</w:t>
      </w:r>
    </w:p>
    <w:p w:rsidR="00E2718D" w:rsidRPr="00E2718D" w:rsidRDefault="00E2718D" w:rsidP="00E2718D">
      <w:pPr>
        <w:pStyle w:val="210"/>
        <w:shd w:val="clear" w:color="auto" w:fill="auto"/>
        <w:tabs>
          <w:tab w:val="left" w:pos="582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б)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  <w:t>казначейські зобов’язання України; інші зобов’язання у грошовій формі, гарантовані Урядом;</w:t>
      </w:r>
    </w:p>
    <w:p w:rsidR="00E2718D" w:rsidRPr="00E2718D" w:rsidRDefault="00E2718D" w:rsidP="00E2718D">
      <w:pPr>
        <w:pStyle w:val="210"/>
        <w:shd w:val="clear" w:color="auto" w:fill="auto"/>
        <w:tabs>
          <w:tab w:val="left" w:pos="618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в)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  <w:t>кредити, отримані урядом.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Державні облігац</w:t>
      </w:r>
      <w:r w:rsidRPr="00E2718D">
        <w:rPr>
          <w:rStyle w:val="220"/>
          <w:rFonts w:ascii="Times New Roman" w:hAnsi="Times New Roman" w:cs="Times New Roman"/>
          <w:color w:val="000000"/>
          <w:sz w:val="28"/>
          <w:szCs w:val="28"/>
        </w:rPr>
        <w:t>ії</w:t>
      </w:r>
      <w:r w:rsidRPr="00E2718D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поділяються на облігації внутрішніх державних позик, зовнішніх державних позик та ц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ільові облігації внутрішніх дер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жавних позик. Облігації державних внутрішніх позик України є:</w:t>
      </w:r>
    </w:p>
    <w:p w:rsidR="00E2718D" w:rsidRPr="00E2718D" w:rsidRDefault="00E2718D" w:rsidP="00E2718D">
      <w:pPr>
        <w:pStyle w:val="210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короткострокові;</w:t>
      </w:r>
    </w:p>
    <w:p w:rsidR="00E2718D" w:rsidRPr="00E2718D" w:rsidRDefault="00E2718D" w:rsidP="00E2718D">
      <w:pPr>
        <w:pStyle w:val="210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lastRenderedPageBreak/>
        <w:t>середньострокові;</w:t>
      </w:r>
    </w:p>
    <w:p w:rsidR="00E2718D" w:rsidRPr="00E2718D" w:rsidRDefault="00E2718D" w:rsidP="00E2718D">
      <w:pPr>
        <w:pStyle w:val="210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довгострокові.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Короткострокові облігації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з терміном обігу до 1 року і 0% ставкою доходу реалізуються фізичним і юридичним особам за вартістю, нижче номінальної, різниця - доходи власника облігації.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Середньострокові облігації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з терміном обігу від 1 до 5 років, з річною відсотковою ставкою доходу.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Довгострокові облігації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- терміном понад 5 років, з річною від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softHyphen/>
        <w:t>сотковою ставкою, в розмірі середньозваженої дохідності.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Існують також такі </w:t>
      </w: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види облігацій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внутрішніх державних позик: уні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softHyphen/>
        <w:t>версальні, відсоткові, безвідсоткові, в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играшні, безпрограшні, відсотко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во-виграшні, заставні, </w:t>
      </w:r>
      <w:proofErr w:type="spellStart"/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незаставні</w:t>
      </w:r>
      <w:proofErr w:type="spellEnd"/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, неринкові. Облігац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ії зовнішніх дер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жавних позик випускаються процентними, дисконтними, іменними та на пред’явника. Оплачуються у вільно конвертованій валюті.</w:t>
      </w:r>
    </w:p>
    <w:p w:rsidR="00E2718D" w:rsidRPr="00E2718D" w:rsidRDefault="00E2718D" w:rsidP="00E2718D">
      <w:pPr>
        <w:pStyle w:val="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151"/>
      <w:r w:rsidRPr="00E2718D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t>3. Правові основи місцевих запозичень</w:t>
      </w:r>
      <w:bookmarkEnd w:id="5"/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Одним із важливих напрямів бюд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жетної реформи в Україні є ство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рення умов для розвитку ринку місцевих (муніципальних) запозичень, що повинно сприяти фінансовій самостійності </w:t>
      </w:r>
      <w:r w:rsidR="00C53F19"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територіальних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громад, активізації інвестиційної діяльності органів місцевого самоврядування.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4"/>
          <w:rFonts w:ascii="Times New Roman" w:hAnsi="Times New Roman" w:cs="Times New Roman"/>
          <w:color w:val="000000"/>
          <w:sz w:val="28"/>
          <w:szCs w:val="28"/>
        </w:rPr>
        <w:t>Ринок місцевих (муніципальних) запозичень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забезпечує обіг фінан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сових активів, які є джерелом фінансування інвестиційних програм та проектів місцевих територіальних громад. Правова основа формування ринку муніципальних запозичень закладена і в ст. 9 Європейської Хартії місцевого самоврядування, яка встановлює, що для здійснення позик інвестиційного капіталу органи місцевого самоврядування мають мати доступ до національного ринку капіталу в межах закону.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Відповідно до ст. 2 Бюджетного ко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дексу України місцеве запозичен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ня - операції з отримання до бюджету Автономної Республіки Крим чи міського бюджету кредитів (позик) на умовах повернення, платності та строковості з метою фінансування бюджету Автономної Республіки Крим чи міського бюджету</w:t>
      </w:r>
      <w:r w:rsidRPr="00E2718D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Під мун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іципальними запозиченнями в пра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вовому аспекті, на нашу думку, варто розуміти муніципальні позики, що здійснюються шляхом випуску цінних паперів від імені територіальної громади, розміщених на внутрішньому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ринку, і кредити, що залучають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ся до місцевого бюджету від інших бюджетів та кредитних організацій, за якими виникають муніципальні боргові зобов’язання.</w:t>
      </w:r>
    </w:p>
    <w:p w:rsidR="00C53F19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Style w:val="23"/>
          <w:rFonts w:ascii="Times New Roman" w:hAnsi="Times New Roman" w:cs="Times New Roman"/>
          <w:color w:val="000000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У багатьох країнах світу кошти 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для фінансування місцевої інфра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структури мобілізуються з внутрішніх 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джерел, тоді як іноземні запози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чення виступають скоріше доповне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нням, а не замінником національ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ного фінансування. </w:t>
      </w:r>
    </w:p>
    <w:p w:rsidR="00E2718D" w:rsidRPr="00E2718D" w:rsidRDefault="00E2718D" w:rsidP="00E2718D">
      <w:pPr>
        <w:pStyle w:val="21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У країнах Європейського Союзу також поширене використання муні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softHyphen/>
        <w:t>ципальних запозичень, які формуют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ь 10-15% доходів місцевих бюдже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тів. Для прикладу, Великобританія емітувала близько 50 </w:t>
      </w:r>
      <w:proofErr w:type="spellStart"/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фунтів стерлінгів муніципальних облігацій, Нідерланди - на суму 32 </w:t>
      </w:r>
      <w:proofErr w:type="spellStart"/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євро. У Нідерландах завдяки законодавчо закріпленій системі гарантування платоспроможності муніципалітетів та згідно з нормативами 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>Центро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банку </w:t>
      </w:r>
      <w:r w:rsidRPr="00E2718D">
        <w:rPr>
          <w:rStyle w:val="23"/>
          <w:rFonts w:ascii="Times New Roman" w:hAnsi="Times New Roman" w:cs="Times New Roman"/>
          <w:color w:val="000000"/>
          <w:sz w:val="28"/>
          <w:szCs w:val="28"/>
        </w:rPr>
        <w:t>муніципальні запозичення мають нульовий ризик.</w:t>
      </w:r>
    </w:p>
    <w:p w:rsidR="00E2718D" w:rsidRPr="00C53F19" w:rsidRDefault="00E2718D" w:rsidP="00C53F19">
      <w:pPr>
        <w:pStyle w:val="210"/>
        <w:shd w:val="clear" w:color="auto" w:fill="auto"/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Відповідно до ст. 73 Бюджетного ко</w:t>
      </w:r>
      <w:r w:rsidR="00C53F19"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дексу України Рада міністрів Ав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тономної Республіки Крим, місцеві державні адміністрації, виконавчі органи відповідних місцевих рад за рішенням Верховної Ради АРК або відповідної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lastRenderedPageBreak/>
        <w:t>місцевої ради можуть отримувати:</w:t>
      </w:r>
    </w:p>
    <w:p w:rsidR="00E2718D" w:rsidRPr="00C53F19" w:rsidRDefault="00E2718D" w:rsidP="00C53F19">
      <w:pPr>
        <w:pStyle w:val="210"/>
        <w:numPr>
          <w:ilvl w:val="0"/>
          <w:numId w:val="12"/>
        </w:numPr>
        <w:shd w:val="clear" w:color="auto" w:fill="auto"/>
        <w:tabs>
          <w:tab w:val="left" w:pos="586"/>
        </w:tabs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позики на покриття тимчасо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вих касових розривів, що виника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ють за загальним фондом та бюджетом розвитку місцевих бюджетів, у фінансових установах на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строк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до трьох місяців у межах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поточного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бюджетного періоду, у виняткових вип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адках за рішенням Кабінету Міні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стрів України стосовно бюджету АРК 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і міських бюджетів - у межах по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точного бюджетного періоду;</w:t>
      </w:r>
    </w:p>
    <w:p w:rsidR="00E2718D" w:rsidRPr="00C53F19" w:rsidRDefault="00E2718D" w:rsidP="00C53F19">
      <w:pPr>
        <w:pStyle w:val="210"/>
        <w:numPr>
          <w:ilvl w:val="0"/>
          <w:numId w:val="12"/>
        </w:numPr>
        <w:shd w:val="clear" w:color="auto" w:fill="auto"/>
        <w:tabs>
          <w:tab w:val="left" w:pos="586"/>
        </w:tabs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позики на покриття тимчасових 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касових розривів місцевих бюдже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тів, пов’язаних із забезпеченням захищених видатків загального фонду, покриваються Казначейством України в межах поточного бюджетного періоду. Такі позики не надаються у разі розміщення коштів місцевого бюджету на депозитах та/або обслуг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овування коштів місцевого бюдже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ту в частині бюджету розвитку та вл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асних надходжень бюджетних уста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нов в установах банків.</w:t>
      </w:r>
    </w:p>
    <w:p w:rsidR="00E2718D" w:rsidRPr="00C53F19" w:rsidRDefault="00E2718D" w:rsidP="00C53F19">
      <w:pPr>
        <w:pStyle w:val="210"/>
        <w:shd w:val="clear" w:color="auto" w:fill="auto"/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В Україні держава не несе відпов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ідальності за борговими зобов’я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заннями Автономної Республіки Крим і територіальних громад. Крім того, надання позик з одного бюджету іншому в Україні забороняється. На нашу думку, це не правильно, і з 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метою розвитку ринку муніципаль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них запозичень варто надати право територіальним громадам давати позики.</w:t>
      </w:r>
    </w:p>
    <w:p w:rsidR="00E2718D" w:rsidRPr="00C53F19" w:rsidRDefault="00E2718D" w:rsidP="00C53F19">
      <w:pPr>
        <w:pStyle w:val="210"/>
        <w:shd w:val="clear" w:color="auto" w:fill="auto"/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Обсяг та умови здійснення місцевих запозичень і надання місцевих гарантій погоджуються з Міністерством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фінансів України. Обсяг та умо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ви здійснення місцевих зовнішніх за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позичень шляхом отримання креди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тів (позик) від міжнародних фінансових організацій і надання місцевих гарантій для забезпечення повного або часткового виконання боргових зобов’язань суб’єктів господарювання, що виникають за кредитами (позиками) від міжнародних фінансов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их організацій, вважаються пого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дженими, якщо Міністерством фінансів України рішення не прийнято протягом одного місяця з дня надходження документів на погодження. Порядок здійснення місцевих запозичень і надання місцевих гарантій встановлюється Кабінетом Міністрів України.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</w:p>
    <w:p w:rsidR="00E2718D" w:rsidRPr="00C53F19" w:rsidRDefault="00E2718D" w:rsidP="00C53F19">
      <w:pPr>
        <w:pStyle w:val="210"/>
        <w:shd w:val="clear" w:color="auto" w:fill="auto"/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В Україні запозичення може здійснюватися у формі: уклад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ення до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говорів позики (кредитних договорів); випуску облігацій місцевих позик. У разі відкритого (публічного) розміщення облігацій місцевих позик на фондовій біржі їх продаж може здійснюватися за ціною, відмінною від номінальної вартості, але не нижче так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ої вартості (крім дисконтних об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лігацій). Усі договори про місцеві запозичення, договори, виконання зобов’язань за якими забезпечено місцевими гарантіями, та договори про відшкодування витрат місцевого бюджету, а також зміни істотних умов таких договорів реєструються у Реєстрі місцевих запозичень та місцевих гарантій.</w:t>
      </w:r>
    </w:p>
    <w:p w:rsidR="00E2718D" w:rsidRPr="00C53F19" w:rsidRDefault="00E2718D" w:rsidP="00C53F19">
      <w:pPr>
        <w:pStyle w:val="210"/>
        <w:shd w:val="clear" w:color="auto" w:fill="auto"/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В Україні у 2016 р. було зареєстровано 13 місцевих запозичень, з них жодного випуску облігацій. У 2014 році було зареєстровано 15 місцевих запозичень, з них 14 зовнішніх кредитів від НЕФКО та Європейського банку реконструкції та розвитку. Водночас здійснений аналіз показав, що порівняно з 2012 роком спостері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гається зменшення кількості міс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цевих запозичень, як у кількісному вимірі, так і у показниках залучених коштів.</w:t>
      </w:r>
    </w:p>
    <w:p w:rsidR="00E2718D" w:rsidRPr="00C53F19" w:rsidRDefault="00E2718D" w:rsidP="00C53F19">
      <w:pPr>
        <w:pStyle w:val="210"/>
        <w:shd w:val="clear" w:color="auto" w:fill="auto"/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Певною мірою це пояснюється зм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іцненням дохідної частини місце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вих бюджетів у зв’язку з проведенням в Україні бюджетної реформи, нап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равленої на децентралізацію бюдж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етних коштів.</w:t>
      </w:r>
    </w:p>
    <w:p w:rsidR="00E2718D" w:rsidRPr="00C53F19" w:rsidRDefault="00E2718D" w:rsidP="00C53F19">
      <w:pPr>
        <w:pStyle w:val="210"/>
        <w:shd w:val="clear" w:color="auto" w:fill="auto"/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Видатки місцевого бюджету на обслуговування місцевого боргу не можуть перевищувати 10 відсотків видатків 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загального фонду місцево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бюджету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протягом будь-якого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бюджетного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періоду,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коли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планується обслуговування місцевого боргу</w:t>
      </w:r>
      <w:r w:rsidRPr="00C53F19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Крім того, гарантією для позичальників є те, що якщо у процесі погашення місцевого боргу та платежів з його обслуговування, обумовлених догов</w:t>
      </w:r>
      <w:r w:rsid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ором між кредитором та позичаль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ником,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порушується графік погашення з вини позичальника,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Верховна 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t>Рада АРК, відповідна міська рада не мають права здійснювати нові міс</w:t>
      </w:r>
      <w:r w:rsidRPr="00C53F19">
        <w:rPr>
          <w:rStyle w:val="23"/>
          <w:rFonts w:ascii="Times New Roman" w:hAnsi="Times New Roman" w:cs="Times New Roman"/>
          <w:color w:val="000000"/>
          <w:sz w:val="28"/>
          <w:szCs w:val="28"/>
        </w:rPr>
        <w:softHyphen/>
        <w:t>цеві запозичення протягом п’яти наступних років.</w:t>
      </w:r>
    </w:p>
    <w:p w:rsidR="00C53F19" w:rsidRDefault="00C53F19" w:rsidP="00C53F19">
      <w:pPr>
        <w:pStyle w:val="61"/>
        <w:shd w:val="clear" w:color="auto" w:fill="auto"/>
        <w:spacing w:before="0" w:after="0" w:line="240" w:lineRule="auto"/>
        <w:ind w:firstLine="318"/>
        <w:jc w:val="both"/>
        <w:rPr>
          <w:rStyle w:val="6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53F19" w:rsidRPr="00C53F19" w:rsidRDefault="00C53F19" w:rsidP="00C53F19">
      <w:pPr>
        <w:pStyle w:val="61"/>
        <w:shd w:val="clear" w:color="auto" w:fill="auto"/>
        <w:spacing w:before="0" w:after="0" w:line="240" w:lineRule="auto"/>
        <w:ind w:left="1038"/>
        <w:jc w:val="both"/>
        <w:rPr>
          <w:rStyle w:val="60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</w:p>
    <w:p w:rsidR="00E2718D" w:rsidRPr="00C53F19" w:rsidRDefault="00E2718D" w:rsidP="00C53F19">
      <w:pPr>
        <w:pStyle w:val="61"/>
        <w:shd w:val="clear" w:color="auto" w:fill="auto"/>
        <w:spacing w:before="0" w:after="0" w:line="240" w:lineRule="auto"/>
        <w:ind w:left="10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19">
        <w:rPr>
          <w:rStyle w:val="60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Питання для самоконтролю:</w:t>
      </w:r>
    </w:p>
    <w:p w:rsidR="00E2718D" w:rsidRPr="00C53F19" w:rsidRDefault="00E2718D" w:rsidP="00C53F19">
      <w:pPr>
        <w:pStyle w:val="31"/>
        <w:numPr>
          <w:ilvl w:val="0"/>
          <w:numId w:val="15"/>
        </w:numPr>
        <w:shd w:val="clear" w:color="auto" w:fill="auto"/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30"/>
          <w:rFonts w:ascii="Times New Roman" w:hAnsi="Times New Roman" w:cs="Times New Roman"/>
          <w:color w:val="000000"/>
          <w:sz w:val="28"/>
          <w:szCs w:val="28"/>
        </w:rPr>
        <w:t xml:space="preserve">Яким документом визначено розмір державного боргу відносно </w:t>
      </w:r>
      <w:r w:rsidRPr="00C53F19">
        <w:rPr>
          <w:rStyle w:val="30"/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ВВП?</w:t>
      </w:r>
    </w:p>
    <w:p w:rsidR="00E2718D" w:rsidRPr="00C53F19" w:rsidRDefault="00E2718D" w:rsidP="00C53F19">
      <w:pPr>
        <w:pStyle w:val="31"/>
        <w:numPr>
          <w:ilvl w:val="0"/>
          <w:numId w:val="15"/>
        </w:numPr>
        <w:shd w:val="clear" w:color="auto" w:fill="auto"/>
        <w:tabs>
          <w:tab w:val="left" w:pos="5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30"/>
          <w:rFonts w:ascii="Times New Roman" w:hAnsi="Times New Roman" w:cs="Times New Roman"/>
          <w:color w:val="000000"/>
          <w:sz w:val="28"/>
          <w:szCs w:val="28"/>
        </w:rPr>
        <w:t>Які ви знаєте види державного боргу?</w:t>
      </w:r>
    </w:p>
    <w:p w:rsidR="00E2718D" w:rsidRPr="00C53F19" w:rsidRDefault="00E2718D" w:rsidP="00C53F19">
      <w:pPr>
        <w:pStyle w:val="31"/>
        <w:numPr>
          <w:ilvl w:val="0"/>
          <w:numId w:val="15"/>
        </w:numPr>
        <w:shd w:val="clear" w:color="auto" w:fill="auto"/>
        <w:tabs>
          <w:tab w:val="left" w:pos="5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30"/>
          <w:rFonts w:ascii="Times New Roman" w:hAnsi="Times New Roman" w:cs="Times New Roman"/>
          <w:color w:val="000000"/>
          <w:sz w:val="28"/>
          <w:szCs w:val="28"/>
        </w:rPr>
        <w:t>Якими цінними паперами оформляються державні та місцеві запозичення?</w:t>
      </w:r>
    </w:p>
    <w:p w:rsidR="00E2718D" w:rsidRPr="00C53F19" w:rsidRDefault="00E2718D" w:rsidP="00C53F19">
      <w:pPr>
        <w:pStyle w:val="31"/>
        <w:numPr>
          <w:ilvl w:val="0"/>
          <w:numId w:val="15"/>
        </w:numPr>
        <w:shd w:val="clear" w:color="auto" w:fill="auto"/>
        <w:tabs>
          <w:tab w:val="left" w:pos="5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30"/>
          <w:rFonts w:ascii="Times New Roman" w:hAnsi="Times New Roman" w:cs="Times New Roman"/>
          <w:color w:val="000000"/>
          <w:sz w:val="28"/>
          <w:szCs w:val="28"/>
        </w:rPr>
        <w:t>Які є форми управління державним боргом?</w:t>
      </w:r>
    </w:p>
    <w:p w:rsidR="00E2718D" w:rsidRPr="00C53F19" w:rsidRDefault="00E2718D" w:rsidP="00C53F19">
      <w:pPr>
        <w:pStyle w:val="31"/>
        <w:numPr>
          <w:ilvl w:val="0"/>
          <w:numId w:val="15"/>
        </w:numPr>
        <w:shd w:val="clear" w:color="auto" w:fill="auto"/>
        <w:tabs>
          <w:tab w:val="left" w:pos="5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30"/>
          <w:rFonts w:ascii="Times New Roman" w:hAnsi="Times New Roman" w:cs="Times New Roman"/>
          <w:color w:val="000000"/>
          <w:sz w:val="28"/>
          <w:szCs w:val="28"/>
        </w:rPr>
        <w:t>Хто приймає рішення про державні запозичення, їх розмір та порядок по</w:t>
      </w:r>
      <w:r w:rsidRPr="00C53F19">
        <w:rPr>
          <w:rStyle w:val="30"/>
          <w:rFonts w:ascii="Times New Roman" w:hAnsi="Times New Roman" w:cs="Times New Roman"/>
          <w:color w:val="000000"/>
          <w:sz w:val="28"/>
          <w:szCs w:val="28"/>
        </w:rPr>
        <w:softHyphen/>
        <w:t>гашення?</w:t>
      </w:r>
    </w:p>
    <w:p w:rsidR="00E2718D" w:rsidRPr="00C53F19" w:rsidRDefault="00E2718D" w:rsidP="00C53F19">
      <w:pPr>
        <w:pStyle w:val="31"/>
        <w:numPr>
          <w:ilvl w:val="0"/>
          <w:numId w:val="15"/>
        </w:numPr>
        <w:shd w:val="clear" w:color="auto" w:fill="auto"/>
        <w:tabs>
          <w:tab w:val="left" w:pos="5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30"/>
          <w:rFonts w:ascii="Times New Roman" w:hAnsi="Times New Roman" w:cs="Times New Roman"/>
          <w:color w:val="000000"/>
          <w:sz w:val="28"/>
          <w:szCs w:val="28"/>
        </w:rPr>
        <w:t>Хто із органів місцевого самоврядування має право на запозичення? Їхні види.</w:t>
      </w:r>
    </w:p>
    <w:p w:rsidR="00E2718D" w:rsidRPr="00C53F19" w:rsidRDefault="00E2718D" w:rsidP="00C53F19">
      <w:pPr>
        <w:pStyle w:val="31"/>
        <w:numPr>
          <w:ilvl w:val="0"/>
          <w:numId w:val="15"/>
        </w:numPr>
        <w:shd w:val="clear" w:color="auto" w:fill="auto"/>
        <w:tabs>
          <w:tab w:val="left" w:pos="5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9">
        <w:rPr>
          <w:rStyle w:val="30"/>
          <w:rFonts w:ascii="Times New Roman" w:hAnsi="Times New Roman" w:cs="Times New Roman"/>
          <w:color w:val="000000"/>
          <w:sz w:val="28"/>
          <w:szCs w:val="28"/>
        </w:rPr>
        <w:t>Хто здійснює випуск цінних паперів?</w:t>
      </w:r>
    </w:p>
    <w:p w:rsidR="00751461" w:rsidRDefault="00751461" w:rsidP="00E2718D">
      <w:pPr>
        <w:jc w:val="both"/>
      </w:pPr>
    </w:p>
    <w:sectPr w:rsidR="00751461" w:rsidSect="0095128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8D" w:rsidRDefault="00E2718D" w:rsidP="00E2718D">
      <w:pPr>
        <w:spacing w:after="0" w:line="240" w:lineRule="auto"/>
      </w:pPr>
      <w:r>
        <w:separator/>
      </w:r>
    </w:p>
  </w:endnote>
  <w:endnote w:type="continuationSeparator" w:id="0">
    <w:p w:rsidR="00E2718D" w:rsidRDefault="00E2718D" w:rsidP="00E2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8D" w:rsidRDefault="00E2718D" w:rsidP="00E2718D">
      <w:pPr>
        <w:spacing w:after="0" w:line="240" w:lineRule="auto"/>
      </w:pPr>
      <w:r>
        <w:separator/>
      </w:r>
    </w:p>
  </w:footnote>
  <w:footnote w:type="continuationSeparator" w:id="0">
    <w:p w:rsidR="00E2718D" w:rsidRDefault="00E2718D" w:rsidP="00E2718D">
      <w:pPr>
        <w:spacing w:after="0" w:line="240" w:lineRule="auto"/>
      </w:pPr>
      <w:r>
        <w:continuationSeparator/>
      </w:r>
    </w:p>
  </w:footnote>
  <w:footnote w:id="1">
    <w:p w:rsidR="00E2718D" w:rsidRPr="00C53F19" w:rsidRDefault="00E2718D" w:rsidP="00C53F19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5"/>
    <w:multiLevelType w:val="multilevel"/>
    <w:tmpl w:val="000000F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113"/>
    <w:multiLevelType w:val="multilevel"/>
    <w:tmpl w:val="0000011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115"/>
    <w:multiLevelType w:val="multilevel"/>
    <w:tmpl w:val="0000011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117"/>
    <w:multiLevelType w:val="multilevel"/>
    <w:tmpl w:val="000001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119"/>
    <w:multiLevelType w:val="multilevel"/>
    <w:tmpl w:val="0000011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11B"/>
    <w:multiLevelType w:val="multilevel"/>
    <w:tmpl w:val="0000011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11D"/>
    <w:multiLevelType w:val="multilevel"/>
    <w:tmpl w:val="0000011C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11F"/>
    <w:multiLevelType w:val="multilevel"/>
    <w:tmpl w:val="0000011E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121"/>
    <w:multiLevelType w:val="multilevel"/>
    <w:tmpl w:val="0000012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123"/>
    <w:multiLevelType w:val="multilevel"/>
    <w:tmpl w:val="0000012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F5B4742"/>
    <w:multiLevelType w:val="hybridMultilevel"/>
    <w:tmpl w:val="DED88A1E"/>
    <w:lvl w:ilvl="0" w:tplc="0422000F">
      <w:start w:val="1"/>
      <w:numFmt w:val="decimal"/>
      <w:lvlText w:val="%1."/>
      <w:lvlJc w:val="left"/>
      <w:pPr>
        <w:ind w:left="1038" w:hanging="360"/>
      </w:p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>
    <w:nsid w:val="25DA4EC6"/>
    <w:multiLevelType w:val="hybridMultilevel"/>
    <w:tmpl w:val="7D9C59A0"/>
    <w:lvl w:ilvl="0" w:tplc="0422000F">
      <w:start w:val="1"/>
      <w:numFmt w:val="decimal"/>
      <w:lvlText w:val="%1."/>
      <w:lvlJc w:val="left"/>
      <w:pPr>
        <w:ind w:left="1038" w:hanging="360"/>
      </w:p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525F558A"/>
    <w:multiLevelType w:val="hybridMultilevel"/>
    <w:tmpl w:val="90B61BC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D60FC9"/>
    <w:multiLevelType w:val="hybridMultilevel"/>
    <w:tmpl w:val="AF062E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C3750"/>
    <w:multiLevelType w:val="hybridMultilevel"/>
    <w:tmpl w:val="633EC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DE"/>
    <w:rsid w:val="003052DE"/>
    <w:rsid w:val="00751461"/>
    <w:rsid w:val="00951285"/>
    <w:rsid w:val="00983426"/>
    <w:rsid w:val="00BD123C"/>
    <w:rsid w:val="00C53F19"/>
    <w:rsid w:val="00D94E8B"/>
    <w:rsid w:val="00E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3052DE"/>
    <w:rPr>
      <w:rFonts w:ascii="Arial" w:hAnsi="Arial" w:cs="Arial"/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rsid w:val="003052DE"/>
    <w:rPr>
      <w:rFonts w:ascii="Arial" w:hAnsi="Arial" w:cs="Arial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1"/>
    <w:rsid w:val="003052D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0">
    <w:name w:val="Заголовок №2"/>
    <w:basedOn w:val="2"/>
    <w:rsid w:val="003052D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3052DE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rsid w:val="003052DE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10"/>
    <w:rsid w:val="003052DE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rsid w:val="003052DE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(2) + Полужирный"/>
    <w:aliases w:val="Курсив3"/>
    <w:basedOn w:val="22"/>
    <w:rsid w:val="003052D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3052D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rsid w:val="003052D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052DE"/>
    <w:pPr>
      <w:widowControl w:val="0"/>
      <w:shd w:val="clear" w:color="auto" w:fill="FFFFFF"/>
      <w:spacing w:after="0" w:line="254" w:lineRule="exact"/>
      <w:jc w:val="center"/>
    </w:pPr>
    <w:rPr>
      <w:rFonts w:ascii="Arial" w:hAnsi="Arial" w:cs="Arial"/>
      <w:sz w:val="17"/>
      <w:szCs w:val="17"/>
    </w:rPr>
  </w:style>
  <w:style w:type="paragraph" w:customStyle="1" w:styleId="21">
    <w:name w:val="Заголовок №21"/>
    <w:basedOn w:val="a"/>
    <w:link w:val="2"/>
    <w:rsid w:val="003052DE"/>
    <w:pPr>
      <w:widowControl w:val="0"/>
      <w:shd w:val="clear" w:color="auto" w:fill="FFFFFF"/>
      <w:spacing w:before="300" w:after="4800" w:line="240" w:lineRule="atLeast"/>
      <w:jc w:val="center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210">
    <w:name w:val="Основной текст (2)1"/>
    <w:basedOn w:val="a"/>
    <w:link w:val="22"/>
    <w:rsid w:val="003052D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1">
    <w:name w:val="Основной текст (6)1"/>
    <w:basedOn w:val="a"/>
    <w:link w:val="6"/>
    <w:rsid w:val="003052DE"/>
    <w:pPr>
      <w:widowControl w:val="0"/>
      <w:shd w:val="clear" w:color="auto" w:fill="FFFFFF"/>
      <w:spacing w:before="420" w:after="180" w:line="240" w:lineRule="atLeast"/>
    </w:pPr>
    <w:rPr>
      <w:rFonts w:ascii="Arial" w:hAnsi="Arial" w:cs="Arial"/>
      <w:i/>
      <w:iCs/>
      <w:sz w:val="17"/>
      <w:szCs w:val="17"/>
    </w:rPr>
  </w:style>
  <w:style w:type="paragraph" w:customStyle="1" w:styleId="91">
    <w:name w:val="Основной текст (9)1"/>
    <w:basedOn w:val="a"/>
    <w:link w:val="9"/>
    <w:rsid w:val="003052DE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styleId="a3">
    <w:name w:val="List Paragraph"/>
    <w:basedOn w:val="a"/>
    <w:uiPriority w:val="34"/>
    <w:qFormat/>
    <w:rsid w:val="003052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052DE"/>
    <w:rPr>
      <w:b/>
      <w:bCs/>
    </w:rPr>
  </w:style>
  <w:style w:type="character" w:styleId="a6">
    <w:name w:val="Emphasis"/>
    <w:basedOn w:val="a0"/>
    <w:uiPriority w:val="20"/>
    <w:qFormat/>
    <w:rsid w:val="003052DE"/>
    <w:rPr>
      <w:i/>
      <w:iCs/>
    </w:rPr>
  </w:style>
  <w:style w:type="character" w:styleId="a7">
    <w:name w:val="Hyperlink"/>
    <w:basedOn w:val="a0"/>
    <w:rsid w:val="00E2718D"/>
    <w:rPr>
      <w:color w:val="0066CC"/>
      <w:u w:val="single"/>
    </w:rPr>
  </w:style>
  <w:style w:type="character" w:customStyle="1" w:styleId="a8">
    <w:name w:val="Сноска_"/>
    <w:basedOn w:val="a0"/>
    <w:link w:val="1"/>
    <w:rsid w:val="00E2718D"/>
    <w:rPr>
      <w:rFonts w:ascii="Arial" w:hAnsi="Arial" w:cs="Arial"/>
      <w:sz w:val="17"/>
      <w:szCs w:val="17"/>
      <w:shd w:val="clear" w:color="auto" w:fill="FFFFFF"/>
    </w:rPr>
  </w:style>
  <w:style w:type="character" w:customStyle="1" w:styleId="a9">
    <w:name w:val="Сноска"/>
    <w:basedOn w:val="a8"/>
    <w:rsid w:val="00E2718D"/>
    <w:rPr>
      <w:rFonts w:ascii="Arial" w:hAnsi="Arial" w:cs="Arial"/>
      <w:sz w:val="17"/>
      <w:szCs w:val="17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2"/>
    <w:rsid w:val="00E2718D"/>
    <w:rPr>
      <w:rFonts w:ascii="Arial" w:hAnsi="Arial" w:cs="Arial"/>
      <w:b/>
      <w:bCs/>
      <w:i/>
      <w:iCs/>
      <w:sz w:val="19"/>
      <w:szCs w:val="19"/>
      <w:u w:val="none"/>
      <w:shd w:val="clear" w:color="auto" w:fill="FFFFFF"/>
    </w:rPr>
  </w:style>
  <w:style w:type="paragraph" w:customStyle="1" w:styleId="1">
    <w:name w:val="Сноска1"/>
    <w:basedOn w:val="a"/>
    <w:link w:val="a8"/>
    <w:rsid w:val="00E2718D"/>
    <w:pPr>
      <w:widowControl w:val="0"/>
      <w:shd w:val="clear" w:color="auto" w:fill="FFFFFF"/>
      <w:spacing w:after="0" w:line="216" w:lineRule="exact"/>
      <w:ind w:firstLine="320"/>
    </w:pPr>
    <w:rPr>
      <w:rFonts w:ascii="Arial" w:hAnsi="Arial" w:cs="Arial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C53F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3F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3052DE"/>
    <w:rPr>
      <w:rFonts w:ascii="Arial" w:hAnsi="Arial" w:cs="Arial"/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rsid w:val="003052DE"/>
    <w:rPr>
      <w:rFonts w:ascii="Arial" w:hAnsi="Arial" w:cs="Arial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1"/>
    <w:rsid w:val="003052D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0">
    <w:name w:val="Заголовок №2"/>
    <w:basedOn w:val="2"/>
    <w:rsid w:val="003052D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3052DE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rsid w:val="003052DE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10"/>
    <w:rsid w:val="003052DE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rsid w:val="003052DE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(2) + Полужирный"/>
    <w:aliases w:val="Курсив3"/>
    <w:basedOn w:val="22"/>
    <w:rsid w:val="003052D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3052D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rsid w:val="003052D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052DE"/>
    <w:pPr>
      <w:widowControl w:val="0"/>
      <w:shd w:val="clear" w:color="auto" w:fill="FFFFFF"/>
      <w:spacing w:after="0" w:line="254" w:lineRule="exact"/>
      <w:jc w:val="center"/>
    </w:pPr>
    <w:rPr>
      <w:rFonts w:ascii="Arial" w:hAnsi="Arial" w:cs="Arial"/>
      <w:sz w:val="17"/>
      <w:szCs w:val="17"/>
    </w:rPr>
  </w:style>
  <w:style w:type="paragraph" w:customStyle="1" w:styleId="21">
    <w:name w:val="Заголовок №21"/>
    <w:basedOn w:val="a"/>
    <w:link w:val="2"/>
    <w:rsid w:val="003052DE"/>
    <w:pPr>
      <w:widowControl w:val="0"/>
      <w:shd w:val="clear" w:color="auto" w:fill="FFFFFF"/>
      <w:spacing w:before="300" w:after="4800" w:line="240" w:lineRule="atLeast"/>
      <w:jc w:val="center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210">
    <w:name w:val="Основной текст (2)1"/>
    <w:basedOn w:val="a"/>
    <w:link w:val="22"/>
    <w:rsid w:val="003052D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1">
    <w:name w:val="Основной текст (6)1"/>
    <w:basedOn w:val="a"/>
    <w:link w:val="6"/>
    <w:rsid w:val="003052DE"/>
    <w:pPr>
      <w:widowControl w:val="0"/>
      <w:shd w:val="clear" w:color="auto" w:fill="FFFFFF"/>
      <w:spacing w:before="420" w:after="180" w:line="240" w:lineRule="atLeast"/>
    </w:pPr>
    <w:rPr>
      <w:rFonts w:ascii="Arial" w:hAnsi="Arial" w:cs="Arial"/>
      <w:i/>
      <w:iCs/>
      <w:sz w:val="17"/>
      <w:szCs w:val="17"/>
    </w:rPr>
  </w:style>
  <w:style w:type="paragraph" w:customStyle="1" w:styleId="91">
    <w:name w:val="Основной текст (9)1"/>
    <w:basedOn w:val="a"/>
    <w:link w:val="9"/>
    <w:rsid w:val="003052DE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styleId="a3">
    <w:name w:val="List Paragraph"/>
    <w:basedOn w:val="a"/>
    <w:uiPriority w:val="34"/>
    <w:qFormat/>
    <w:rsid w:val="003052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052DE"/>
    <w:rPr>
      <w:b/>
      <w:bCs/>
    </w:rPr>
  </w:style>
  <w:style w:type="character" w:styleId="a6">
    <w:name w:val="Emphasis"/>
    <w:basedOn w:val="a0"/>
    <w:uiPriority w:val="20"/>
    <w:qFormat/>
    <w:rsid w:val="003052DE"/>
    <w:rPr>
      <w:i/>
      <w:iCs/>
    </w:rPr>
  </w:style>
  <w:style w:type="character" w:styleId="a7">
    <w:name w:val="Hyperlink"/>
    <w:basedOn w:val="a0"/>
    <w:rsid w:val="00E2718D"/>
    <w:rPr>
      <w:color w:val="0066CC"/>
      <w:u w:val="single"/>
    </w:rPr>
  </w:style>
  <w:style w:type="character" w:customStyle="1" w:styleId="a8">
    <w:name w:val="Сноска_"/>
    <w:basedOn w:val="a0"/>
    <w:link w:val="1"/>
    <w:rsid w:val="00E2718D"/>
    <w:rPr>
      <w:rFonts w:ascii="Arial" w:hAnsi="Arial" w:cs="Arial"/>
      <w:sz w:val="17"/>
      <w:szCs w:val="17"/>
      <w:shd w:val="clear" w:color="auto" w:fill="FFFFFF"/>
    </w:rPr>
  </w:style>
  <w:style w:type="character" w:customStyle="1" w:styleId="a9">
    <w:name w:val="Сноска"/>
    <w:basedOn w:val="a8"/>
    <w:rsid w:val="00E2718D"/>
    <w:rPr>
      <w:rFonts w:ascii="Arial" w:hAnsi="Arial" w:cs="Arial"/>
      <w:sz w:val="17"/>
      <w:szCs w:val="17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2"/>
    <w:rsid w:val="00E2718D"/>
    <w:rPr>
      <w:rFonts w:ascii="Arial" w:hAnsi="Arial" w:cs="Arial"/>
      <w:b/>
      <w:bCs/>
      <w:i/>
      <w:iCs/>
      <w:sz w:val="19"/>
      <w:szCs w:val="19"/>
      <w:u w:val="none"/>
      <w:shd w:val="clear" w:color="auto" w:fill="FFFFFF"/>
    </w:rPr>
  </w:style>
  <w:style w:type="paragraph" w:customStyle="1" w:styleId="1">
    <w:name w:val="Сноска1"/>
    <w:basedOn w:val="a"/>
    <w:link w:val="a8"/>
    <w:rsid w:val="00E2718D"/>
    <w:pPr>
      <w:widowControl w:val="0"/>
      <w:shd w:val="clear" w:color="auto" w:fill="FFFFFF"/>
      <w:spacing w:after="0" w:line="216" w:lineRule="exact"/>
      <w:ind w:firstLine="320"/>
    </w:pPr>
    <w:rPr>
      <w:rFonts w:ascii="Arial" w:hAnsi="Arial" w:cs="Arial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C53F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3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8DB3-52CC-4F4F-B415-B6F9669D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9805</Words>
  <Characters>5590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2020-05-26T20:06:00Z</dcterms:created>
  <dcterms:modified xsi:type="dcterms:W3CDTF">2020-05-26T20:06:00Z</dcterms:modified>
</cp:coreProperties>
</file>