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DE" w:rsidRPr="003052DE" w:rsidRDefault="003052DE" w:rsidP="003052DE">
      <w:pPr>
        <w:jc w:val="both"/>
      </w:pPr>
      <w:bookmarkStart w:id="0" w:name="bookmark140"/>
      <w:r w:rsidRPr="00983426"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Лекція 8</w:t>
      </w:r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83426"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ПРАВОВЕ РЕГУЛЮВАННЯ ЄДИНОГО СОЦІАЛЬНОГО ВНЕСКУ</w:t>
      </w:r>
      <w:r w:rsidR="00983426"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983426">
        <w:rPr>
          <w:rStyle w:val="20"/>
          <w:rFonts w:ascii="Times New Roman" w:hAnsi="Times New Roman" w:cs="Times New Roman"/>
          <w:bCs w:val="0"/>
          <w:color w:val="000000"/>
          <w:sz w:val="28"/>
          <w:szCs w:val="28"/>
        </w:rPr>
        <w:t>НА ЗАГАЛЬНООБОВ’ЯЗКОВЕ ДЕРЖАВНЕ СТРАХУВАННЯ</w:t>
      </w:r>
      <w:bookmarkEnd w:id="0"/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r w:rsidRPr="003052DE">
        <w:rPr>
          <w:rStyle w:val="30"/>
          <w:rFonts w:ascii="Times New Roman" w:hAnsi="Times New Roman" w:cs="Times New Roman"/>
          <w:color w:val="000000"/>
          <w:sz w:val="28"/>
          <w:szCs w:val="28"/>
        </w:rPr>
        <w:t>Загальна характеристика єдиного внеску</w:t>
      </w:r>
      <w:r w:rsidRPr="003052DE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r w:rsidRPr="003052DE">
        <w:rPr>
          <w:rStyle w:val="30"/>
          <w:rFonts w:ascii="Times New Roman" w:hAnsi="Times New Roman" w:cs="Times New Roman"/>
          <w:color w:val="000000"/>
          <w:sz w:val="28"/>
          <w:szCs w:val="28"/>
        </w:rPr>
        <w:t>Платники єдиного внеску</w:t>
      </w:r>
      <w:r w:rsidRPr="003052DE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r w:rsidRPr="003052DE">
        <w:rPr>
          <w:rStyle w:val="30"/>
          <w:rFonts w:ascii="Times New Roman" w:hAnsi="Times New Roman" w:cs="Times New Roman"/>
          <w:color w:val="000000"/>
          <w:sz w:val="28"/>
          <w:szCs w:val="28"/>
        </w:rPr>
        <w:t>База нарахування та розміри єдиного внеску</w:t>
      </w:r>
      <w:r w:rsidRPr="003052DE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r w:rsidRPr="003052DE">
        <w:rPr>
          <w:rStyle w:val="30"/>
          <w:rFonts w:ascii="Times New Roman" w:hAnsi="Times New Roman" w:cs="Times New Roman"/>
          <w:color w:val="000000"/>
          <w:sz w:val="28"/>
          <w:szCs w:val="28"/>
        </w:rPr>
        <w:t>Обчислення і сплата єдиного внеску</w:t>
      </w:r>
      <w:r w:rsidRPr="003052DE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r w:rsidRPr="003052DE">
        <w:rPr>
          <w:rStyle w:val="30"/>
          <w:rFonts w:ascii="Times New Roman" w:hAnsi="Times New Roman" w:cs="Times New Roman"/>
          <w:color w:val="000000"/>
          <w:sz w:val="28"/>
          <w:szCs w:val="28"/>
        </w:rPr>
        <w:t>Відповідальність за порушення порядку обчислення і сплати ЄСВ.</w:t>
      </w:r>
    </w:p>
    <w:p w:rsidR="003052DE" w:rsidRPr="003052DE" w:rsidRDefault="003052DE" w:rsidP="003052DE">
      <w:pPr>
        <w:pStyle w:val="a3"/>
        <w:numPr>
          <w:ilvl w:val="0"/>
          <w:numId w:val="6"/>
        </w:numPr>
        <w:jc w:val="both"/>
      </w:pPr>
      <w:bookmarkStart w:id="1" w:name="bookmark141"/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Загальна характеристика єдиного внеску</w:t>
      </w:r>
      <w:bookmarkEnd w:id="1"/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Єдиний соціальний внесок (ЄСВ) не входить до податкової системи України, однак контроль за повнотою н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арахування і сплати єдиного вне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ску покладено на органи ДФС України.</w:t>
      </w:r>
    </w:p>
    <w:p w:rsidR="003052DE" w:rsidRDefault="003052DE" w:rsidP="003052DE">
      <w:pPr>
        <w:jc w:val="both"/>
        <w:rPr>
          <w:rStyle w:val="23"/>
          <w:rFonts w:ascii="Times New Roman" w:hAnsi="Times New Roman" w:cs="Times New Roman"/>
          <w:color w:val="000000"/>
          <w:sz w:val="28"/>
          <w:szCs w:val="28"/>
        </w:rPr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У зв’язку з цим наказом Міністерства фінансів України від 28.03.2016 року № 393 затверджена Інструкція “Про порядок нарахування і сплати єдиного соціального внеску на загальнообов’язкове державне соціаль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>не страхування” відповідно до Закону України “Про збір та облік внесків на загальне державне соціальне страхування””</w:t>
      </w:r>
    </w:p>
    <w:p w:rsidR="003052DE" w:rsidRPr="003052DE" w:rsidRDefault="003052DE" w:rsidP="003052DE">
      <w:pPr>
        <w:jc w:val="both"/>
        <w:rPr>
          <w:rFonts w:ascii="Times New Roman" w:hAnsi="Times New Roman" w:cs="Times New Roman"/>
          <w:sz w:val="28"/>
          <w:szCs w:val="28"/>
        </w:rPr>
      </w:pPr>
      <w:r w:rsidRPr="003052DE">
        <w:rPr>
          <w:rStyle w:val="a5"/>
          <w:rFonts w:ascii="Times New Roman" w:hAnsi="Times New Roman" w:cs="Times New Roman"/>
          <w:color w:val="232B30"/>
          <w:sz w:val="28"/>
          <w:szCs w:val="28"/>
        </w:rPr>
        <w:t>Єдиний соціальний внесок</w:t>
      </w:r>
      <w:r w:rsidRPr="003052DE">
        <w:rPr>
          <w:rFonts w:ascii="Times New Roman" w:hAnsi="Times New Roman" w:cs="Times New Roman"/>
          <w:sz w:val="28"/>
          <w:szCs w:val="28"/>
        </w:rPr>
        <w:t> на загальнообов'язкове державне соціальне страхування (</w:t>
      </w:r>
      <w:proofErr w:type="spellStart"/>
      <w:r w:rsidRPr="003052DE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3052DE">
        <w:rPr>
          <w:rFonts w:ascii="Times New Roman" w:hAnsi="Times New Roman" w:cs="Times New Roman"/>
          <w:sz w:val="28"/>
          <w:szCs w:val="28"/>
        </w:rPr>
        <w:t>р. </w:t>
      </w:r>
      <w:r w:rsidRPr="003052DE">
        <w:rPr>
          <w:rStyle w:val="a6"/>
          <w:rFonts w:ascii="Times New Roman" w:hAnsi="Times New Roman" w:cs="Times New Roman"/>
          <w:color w:val="232B30"/>
          <w:sz w:val="28"/>
          <w:szCs w:val="28"/>
        </w:rPr>
        <w:t>ЄСВ</w:t>
      </w:r>
      <w:r w:rsidRPr="003052DE">
        <w:rPr>
          <w:rFonts w:ascii="Times New Roman" w:hAnsi="Times New Roman" w:cs="Times New Roman"/>
          <w:sz w:val="28"/>
          <w:szCs w:val="28"/>
        </w:rPr>
        <w:t>) — це консолідований страховий внесок в Україні, збір якого здійснюється в системі загальнообов'язкового державного страхування в обов'язковому порядку та на регулярній основі.</w:t>
      </w:r>
    </w:p>
    <w:p w:rsidR="003052DE" w:rsidRPr="003052DE" w:rsidRDefault="003052DE" w:rsidP="003052DE">
      <w:pPr>
        <w:jc w:val="center"/>
      </w:pPr>
      <w:bookmarkStart w:id="2" w:name="bookmark142"/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Платники єдиного внеску</w:t>
      </w:r>
      <w:bookmarkEnd w:id="2"/>
    </w:p>
    <w:p w:rsidR="003052DE" w:rsidRPr="003052DE" w:rsidRDefault="003052DE" w:rsidP="003052DE">
      <w:pPr>
        <w:jc w:val="both"/>
      </w:pPr>
      <w:r w:rsidRPr="003052DE">
        <w:rPr>
          <w:rStyle w:val="90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Платниками єдиного внеску є: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роботодавці: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підприємства, установи та організації, інші юридичні особи, які використовують працю фізичних осіб на умовах трудового договору (контракту) чи за цивільно-правовим договором;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фізичні особи - підприємці, що використовують працю інших осіб;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фізичні особи, які проводять незалежну професійну діяльність та використовують працю інших осіб на умовах трудового договору;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підприємства, установи, фізичні 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соби, військові частини, які ви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плачують грошове забезпечення, до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помогу з тимчасової непрацездат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ності у зв’язку з вагітністю та пологами окремим категоріям громадян;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фізичні особи - підприємці, в тому числі на спрощеній системі оподаткування;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особи, які проводять незалежну професійну діяльність;</w:t>
      </w:r>
    </w:p>
    <w:p w:rsidR="003052DE" w:rsidRPr="003052DE" w:rsidRDefault="003052DE" w:rsidP="003052DE">
      <w:pPr>
        <w:pStyle w:val="a3"/>
        <w:numPr>
          <w:ilvl w:val="0"/>
          <w:numId w:val="7"/>
        </w:num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особи, які добровільно беруть у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часть у системі державного стра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хування.</w:t>
      </w:r>
    </w:p>
    <w:p w:rsidR="003052DE" w:rsidRPr="003052DE" w:rsidRDefault="003052DE" w:rsidP="003052DE">
      <w:pPr>
        <w:jc w:val="both"/>
      </w:pP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lastRenderedPageBreak/>
        <w:t>Звільняються від сплати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єдиного внеску фізичні особи - підприємці та фізичні особи спрощеної системи оподаткування, які є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пенсіонерами за віком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або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інваліди.</w:t>
      </w:r>
    </w:p>
    <w:p w:rsidR="003052DE" w:rsidRPr="003052DE" w:rsidRDefault="003052DE" w:rsidP="003052DE">
      <w:pPr>
        <w:jc w:val="center"/>
      </w:pPr>
      <w:bookmarkStart w:id="3" w:name="bookmark143"/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База нарахування та розміри єдиного внеску</w:t>
      </w:r>
      <w:bookmarkEnd w:id="3"/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Єдиний внесок встановлений із 1 січня 2015 року в розмірі 22% на суму нарахованої заробітної плати, включаючи основну та додаткову, та винагороди фізичним </w:t>
      </w:r>
      <w:proofErr w:type="spellStart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осібам</w:t>
      </w:r>
      <w:proofErr w:type="spellEnd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за виконання р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обіт за цивільно-право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вими договорами.</w:t>
      </w:r>
    </w:p>
    <w:p w:rsidR="003052DE" w:rsidRDefault="003052DE" w:rsidP="003052DE">
      <w:pPr>
        <w:jc w:val="both"/>
        <w:rPr>
          <w:rStyle w:val="24"/>
          <w:rFonts w:ascii="Times New Roman" w:hAnsi="Times New Roman" w:cs="Times New Roman"/>
          <w:color w:val="000000"/>
          <w:sz w:val="28"/>
          <w:szCs w:val="28"/>
        </w:rPr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Для фізичних осіб - підприємців єдиний внесок нараховується із чис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softHyphen/>
        <w:t xml:space="preserve">того доходу, але не більше максимальної величини бази нарахування, та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не може бути меншим мінімаль</w:t>
      </w:r>
      <w:r>
        <w:rPr>
          <w:rStyle w:val="24"/>
          <w:rFonts w:ascii="Times New Roman" w:hAnsi="Times New Roman" w:cs="Times New Roman"/>
          <w:color w:val="000000"/>
          <w:sz w:val="28"/>
          <w:szCs w:val="28"/>
        </w:rPr>
        <w:t>ного страхового внеску за місяць.</w:t>
      </w:r>
    </w:p>
    <w:p w:rsidR="003052DE" w:rsidRPr="00951285" w:rsidRDefault="003052DE" w:rsidP="003052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t> 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З 1 січня 2020 року зросте розмір мінімальної зар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плати (4723 </w:t>
      </w:r>
      <w:proofErr w:type="spellStart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грн</w:t>
      </w:r>
      <w:proofErr w:type="spellEnd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), а отже змінила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ся мінімальна та максимальна сума ЄСВ.</w:t>
      </w:r>
    </w:p>
    <w:p w:rsidR="003052DE" w:rsidRPr="00951285" w:rsidRDefault="003052DE" w:rsidP="003052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Мінімальний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 страховий внесок з ЄСВ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у 2020 році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 становитиме 4723 х 22% =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 xml:space="preserve">1039,06 </w:t>
      </w:r>
      <w:proofErr w:type="spellStart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грн</w:t>
      </w:r>
      <w:proofErr w:type="spellEnd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,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 у 2019 році він становить 4173 х 22% =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918,06 грн.</w:t>
      </w:r>
    </w:p>
    <w:p w:rsidR="003052DE" w:rsidRPr="00951285" w:rsidRDefault="003052DE" w:rsidP="003052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 xml:space="preserve">З 2018 року максимальна база нарахування ЄСВ дорівнює 15 розмірам мінімальної зарплати. З 01.01.2019 р. – це 62 595 </w:t>
      </w:r>
      <w:proofErr w:type="spellStart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грн</w:t>
      </w:r>
      <w:proofErr w:type="spellEnd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з 01.01.2020 р. - 70 845 грн. </w:t>
      </w:r>
      <w:proofErr w:type="spellStart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Тож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максимальний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 страх</w:t>
      </w:r>
      <w:proofErr w:type="spellEnd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овий внесок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 xml:space="preserve">у 2019 </w:t>
      </w:r>
      <w:proofErr w:type="spellStart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році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 становив </w:t>
      </w:r>
      <w:proofErr w:type="spellEnd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 xml:space="preserve">13770,90 </w:t>
      </w:r>
      <w:proofErr w:type="spellStart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грн</w:t>
      </w:r>
      <w:proofErr w:type="spellEnd"/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, а у 2020 році </w:t>
      </w: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 xml:space="preserve">він </w:t>
      </w:r>
      <w:proofErr w:type="spellStart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бу</w:t>
      </w:r>
      <w:proofErr w:type="spellEnd"/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де </w:t>
      </w:r>
      <w:r w:rsidRP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  <w:u w:val="single"/>
        </w:rPr>
        <w:t>15 585,90 грн.</w:t>
      </w:r>
    </w:p>
    <w:p w:rsidR="003052DE" w:rsidRPr="00951285" w:rsidRDefault="003052DE" w:rsidP="003052D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285">
        <w:rPr>
          <w:rFonts w:ascii="Times New Roman" w:hAnsi="Times New Roman" w:cs="Times New Roman"/>
          <w:i/>
          <w:sz w:val="28"/>
          <w:szCs w:val="28"/>
          <w:u w:val="single"/>
        </w:rPr>
        <w:t>Зміна розміру мінімальної зарплати в 2020 році (принаймні, Законом про Держбюджет) не запланована. Відповідно, як мінімальна, так і максимальна сума ЄСВ протягом усього 2020 року не змінюватиметься і становитиме: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Для підприємств та організацій, у яких працюють інваліди, єдиний внесок сплачується в розмірі 8,41% нарахованої заробітної плати, включаючи основну і додаткову.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Для підприємств Всеукраїнських громадських організацій інвалідів, у яких кількість інвалідів становить 50% від загального числа працюючих, а витрати на оплату праці не менш 25%, встановлений ЄСВ 5,3%.</w:t>
      </w:r>
    </w:p>
    <w:p w:rsidR="003052DE" w:rsidRPr="003052DE" w:rsidRDefault="003052DE" w:rsidP="003052DE">
      <w:pPr>
        <w:jc w:val="both"/>
      </w:pP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Максимальна база нарахування ЄСВ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2DE">
        <w:rPr>
          <w:rFonts w:ascii="Times New Roman" w:hAnsi="Times New Roman" w:cs="Times New Roman"/>
          <w:sz w:val="28"/>
          <w:szCs w:val="28"/>
        </w:rPr>
        <w:t xml:space="preserve">із  2018 року дорівнює 15 розмірам мінімальної зарплати. З 01.01.2019 р. – це 62 595 </w:t>
      </w:r>
      <w:proofErr w:type="spellStart"/>
      <w:r w:rsidRPr="003052DE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052DE">
        <w:rPr>
          <w:rFonts w:ascii="Times New Roman" w:hAnsi="Times New Roman" w:cs="Times New Roman"/>
          <w:sz w:val="28"/>
          <w:szCs w:val="28"/>
        </w:rPr>
        <w:t>, а з 01.01.2020 р. - 70 845 грн..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Якщо база оподаткування менша за мінімальний розмір заробітної плати на 1 січня податкового року, то нарахування і сплата проводиться з розрахунку мінімальної заробітної плати.</w:t>
      </w:r>
    </w:p>
    <w:p w:rsidR="00951285" w:rsidRDefault="00951285" w:rsidP="003052DE">
      <w:pPr>
        <w:jc w:val="center"/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4" w:name="bookmark144"/>
    </w:p>
    <w:p w:rsidR="003052DE" w:rsidRPr="003052DE" w:rsidRDefault="003052DE" w:rsidP="003052DE">
      <w:pPr>
        <w:jc w:val="center"/>
      </w:pPr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Обчислення і сплата єдиного внеску</w:t>
      </w:r>
      <w:bookmarkEnd w:id="4"/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Єдиний внесок нараховується на суму, що визначається базою для нарахування, незалежно від джерела фінансування, форми, порядку, місця виплат.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Сплата єдиного внеску здійснюється за місцем обліку платника 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шля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  <w:lang w:eastAsia="ru-RU"/>
        </w:rPr>
        <w:t>хом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внесення відповідних сум на рахунк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и органів доходів і зборів, від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критих в органах Державної казначейської служби України.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Єдиний внесок сплачується пла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тником шляхом перерахування без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готівкових коштів з банківського рахунку.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Фізичні особи - підприємці можуть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сплачувати єдиний внесок готів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кою через банк чи відділення зв’язку.</w:t>
      </w:r>
    </w:p>
    <w:p w:rsidR="003052DE" w:rsidRPr="003052DE" w:rsidRDefault="003052DE" w:rsidP="003052DE">
      <w:pPr>
        <w:jc w:val="both"/>
      </w:pP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Нарахування і сплата єдиного внеску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здійснюється під час виплати заробітної плати (грошового забезпечен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ня), але не пізніше 20 числа на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ступного місяця.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Фізичні особи - підприємці на загал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ьній системі оподаткування здій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снюють розрахунок ЄСВ за календарний рік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до 10 лютого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на підставі даних річної податкової декларації.</w:t>
      </w:r>
    </w:p>
    <w:p w:rsidR="003052DE" w:rsidRPr="003052DE" w:rsidRDefault="003052DE" w:rsidP="003052DE">
      <w:pPr>
        <w:jc w:val="both"/>
      </w:pP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Базою нарахування єдиного внеску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є чистий дохід, поділений на кількість місяців, протягом яких він отриманий.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У разі якщо таким платником не отримано чистий дохід у звітному році або окремому місяці звітного року, такий 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платник має право само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стійно визначити базу нарахування, але при цьому сума єдиного внеску не може бути меншою розміру мінімального страхового внеску (</w:t>
      </w:r>
      <w:r w:rsidRPr="003052DE">
        <w:rPr>
          <w:rStyle w:val="a5"/>
          <w:rFonts w:ascii="Times New Roman" w:hAnsi="Times New Roman" w:cs="Times New Roman"/>
          <w:i/>
          <w:color w:val="232B30"/>
          <w:sz w:val="28"/>
          <w:szCs w:val="28"/>
        </w:rPr>
        <w:t>1039,06 грн</w:t>
      </w:r>
      <w:r w:rsidR="00951285">
        <w:rPr>
          <w:rStyle w:val="a5"/>
          <w:rFonts w:ascii="Times New Roman" w:hAnsi="Times New Roman" w:cs="Times New Roman"/>
          <w:i/>
          <w:color w:val="232B30"/>
          <w:sz w:val="28"/>
          <w:szCs w:val="28"/>
        </w:rPr>
        <w:t>.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місяць у 2020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році).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Для платників незалежної професійної діяльності, працівників, які працюють у сільському господарстві, на сезонних роботах, встановлено строк сплати єдиного внеску за рік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до 1 травня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наступного року на під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ставі річної декларації з урахуванням кількості місяців, в яких отримано дохід.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Платники спрощеної системи оподаткування визначають єдиний внесок самостійно за базою, яка не 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може бути меншою за розмір міні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мальної заробітної плати, але не більша за максимальну величину бази нарахування ЄСВ.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Єдиний внесок сплачується платниками спрощеної системи до 20 числа місяця наступного за звітнім кварталом.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Платники єдиного податку першої групи сплачують єдиний внесок в розмірі 50 % від мінімального внеску, 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тобто 519,50 гривні на місяць (протягом 2020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:rsidR="003052DE" w:rsidRPr="003052DE" w:rsidRDefault="00951285" w:rsidP="003052DE">
      <w:pPr>
        <w:jc w:val="both"/>
      </w:pP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lastRenderedPageBreak/>
        <w:t>Із 1 січня 2020</w:t>
      </w:r>
      <w:r w:rsidR="003052DE"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року фізичні особи -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підприємці, які не отримали до</w:t>
      </w:r>
      <w:r w:rsidR="003052DE"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хід, або отримали збитки, сплачують ЄСВ в розмірі 22% від мінімальної з</w:t>
      </w: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аробітної плати на 1 січня 2020 </w:t>
      </w:r>
      <w:r w:rsidR="003052DE"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року (</w:t>
      </w:r>
      <w:r>
        <w:rPr>
          <w:rStyle w:val="a5"/>
          <w:rFonts w:ascii="Times New Roman" w:hAnsi="Times New Roman" w:cs="Times New Roman"/>
          <w:i/>
          <w:color w:val="232B30"/>
          <w:sz w:val="28"/>
          <w:szCs w:val="28"/>
        </w:rPr>
        <w:t xml:space="preserve">1039,06 </w:t>
      </w:r>
      <w:proofErr w:type="spellStart"/>
      <w:r w:rsidR="003052DE"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3052DE"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на місяць).</w:t>
      </w:r>
    </w:p>
    <w:p w:rsidR="003052DE" w:rsidRPr="003052DE" w:rsidRDefault="003052DE" w:rsidP="00951285">
      <w:pPr>
        <w:jc w:val="center"/>
      </w:pPr>
      <w:bookmarkStart w:id="5" w:name="bookmark145"/>
      <w:r w:rsidRPr="003052DE"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Відповідальність за порушення порядку обчислення і сплати ЄСВ</w:t>
      </w:r>
      <w:bookmarkEnd w:id="5"/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порушення норм законодавств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а про єдиний внесок органи дохо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дів і зборів застосовують </w:t>
      </w:r>
      <w:r w:rsidRPr="003052DE">
        <w:rPr>
          <w:rStyle w:val="24"/>
          <w:rFonts w:ascii="Times New Roman" w:hAnsi="Times New Roman" w:cs="Times New Roman"/>
          <w:color w:val="000000"/>
          <w:sz w:val="28"/>
          <w:szCs w:val="28"/>
        </w:rPr>
        <w:t>штрафні санкції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у таких розмірах: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у разі ухиляння від взяття на облік накладається штраф у розмірі 10 неоподаткованих мінімумів доходів громадян;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несплату або несвоєчасну спл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ату ЄСВ на платників накладаєть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ся штраф у розмірі 20% своєчасно несплачених сум;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донарахування органом доходів і зборів ЄСВ - 10% зазначеної суми за кожен повний або неповний з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вітний період, за який донарахо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вано таку суму, але не більше як 50% суми донарахованого єдиного внеску;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неналежне ведення бухгалтерської документації накладається штраф у розмірі від 8 до 15 неоподат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ковуваних мінімумів доходів гро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мадян;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несвоєчасну, неповну сплату або несвоєчасну сплату сум ЄСВ одночасно з видачею сум виплат, на які нараховується єдиний внесок, накладається штраф у розмірі 10%;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 неподання, несвоєчасне подання, </w:t>
      </w:r>
      <w:proofErr w:type="spellStart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не за встановленою формою звітності накладається 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штраф 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у розмірі 10 неоподатковуваних мінімумів громадян.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Платникам ЄСВ на суму недоїмки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також нараховується пеня з роз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рахунку 0,1% на суму фактично сплаченої нед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оїмки за кожний день не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сплати платежу.</w:t>
      </w:r>
    </w:p>
    <w:p w:rsidR="003052DE" w:rsidRPr="003052DE" w:rsidRDefault="003052DE" w:rsidP="003052DE">
      <w:pPr>
        <w:jc w:val="both"/>
      </w:pP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За несвоєчасне перерахування аб</w:t>
      </w:r>
      <w:r w:rsidR="00951285">
        <w:rPr>
          <w:rStyle w:val="23"/>
          <w:rFonts w:ascii="Times New Roman" w:hAnsi="Times New Roman" w:cs="Times New Roman"/>
          <w:color w:val="000000"/>
          <w:sz w:val="28"/>
          <w:szCs w:val="28"/>
        </w:rPr>
        <w:t>о несвоєчасне зарахування на ра</w:t>
      </w:r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хунки органів ДФС сум ЄСВ банкам нараховується пеня в розмірі 0,1% за кожний день </w:t>
      </w:r>
      <w:proofErr w:type="spellStart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прострочки</w:t>
      </w:r>
      <w:proofErr w:type="spellEnd"/>
      <w:r w:rsidRPr="003052DE">
        <w:rPr>
          <w:rStyle w:val="2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2DE" w:rsidRPr="00983426" w:rsidRDefault="003052DE" w:rsidP="00951285">
      <w:pPr>
        <w:jc w:val="center"/>
        <w:rPr>
          <w:b/>
        </w:rPr>
      </w:pPr>
      <w:bookmarkStart w:id="6" w:name="_GoBack"/>
      <w:r w:rsidRPr="00983426">
        <w:rPr>
          <w:rStyle w:val="60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  <w:t>Питання для самоконтролю:</w:t>
      </w:r>
    </w:p>
    <w:bookmarkEnd w:id="6"/>
    <w:p w:rsidR="003052DE" w:rsidRPr="003052DE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Яких ви знаєте платників єдиного внеску?</w:t>
      </w:r>
    </w:p>
    <w:p w:rsidR="003052DE" w:rsidRPr="003052DE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Що є базою оподаткування єдиного внеску?</w:t>
      </w:r>
    </w:p>
    <w:p w:rsidR="003052DE" w:rsidRPr="003052DE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Які ви знаєте ставки оподаткування єдиного внеску?</w:t>
      </w:r>
    </w:p>
    <w:p w:rsidR="003052DE" w:rsidRPr="003052DE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Хто звільняється від сплати єдиного внеску?</w:t>
      </w:r>
    </w:p>
    <w:p w:rsidR="003052DE" w:rsidRPr="003052DE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Який порядок нарахування та сплати єдиного внеску?</w:t>
      </w:r>
    </w:p>
    <w:p w:rsidR="00951285" w:rsidRPr="00951285" w:rsidRDefault="003052DE" w:rsidP="003052DE">
      <w:pPr>
        <w:pStyle w:val="a3"/>
        <w:numPr>
          <w:ilvl w:val="0"/>
          <w:numId w:val="8"/>
        </w:numPr>
        <w:jc w:val="both"/>
        <w:rPr>
          <w:rStyle w:val="30"/>
          <w:rFonts w:asciiTheme="minorHAnsi" w:hAnsiTheme="minorHAnsi" w:cstheme="minorBidi"/>
          <w:sz w:val="22"/>
          <w:szCs w:val="22"/>
          <w:shd w:val="clear" w:color="auto" w:fill="auto"/>
        </w:rPr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Яка звітність із єдиного внеску?</w:t>
      </w:r>
    </w:p>
    <w:p w:rsidR="00951285" w:rsidRPr="00951285" w:rsidRDefault="003052DE" w:rsidP="003052DE">
      <w:pPr>
        <w:pStyle w:val="a3"/>
        <w:numPr>
          <w:ilvl w:val="0"/>
          <w:numId w:val="8"/>
        </w:numPr>
        <w:jc w:val="both"/>
        <w:rPr>
          <w:rStyle w:val="30"/>
          <w:rFonts w:asciiTheme="minorHAnsi" w:hAnsiTheme="minorHAnsi" w:cstheme="minorBidi"/>
          <w:sz w:val="22"/>
          <w:szCs w:val="22"/>
          <w:shd w:val="clear" w:color="auto" w:fill="auto"/>
        </w:rPr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Як нараховується пеня за несвоєчасну сплату ЄСВ?</w:t>
      </w:r>
    </w:p>
    <w:p w:rsidR="00751461" w:rsidRDefault="003052DE" w:rsidP="00951285">
      <w:pPr>
        <w:pStyle w:val="a3"/>
        <w:numPr>
          <w:ilvl w:val="0"/>
          <w:numId w:val="8"/>
        </w:numPr>
        <w:jc w:val="both"/>
      </w:pPr>
      <w:r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>Штрафні санкції та їх застосування.</w:t>
      </w:r>
      <w:r w:rsidR="00951285" w:rsidRPr="00951285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51461" w:rsidSect="0095128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5"/>
    <w:multiLevelType w:val="multilevel"/>
    <w:tmpl w:val="000000F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113"/>
    <w:multiLevelType w:val="multilevel"/>
    <w:tmpl w:val="0000011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115"/>
    <w:multiLevelType w:val="multilevel"/>
    <w:tmpl w:val="0000011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117"/>
    <w:multiLevelType w:val="multilevel"/>
    <w:tmpl w:val="000001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119"/>
    <w:multiLevelType w:val="multilevel"/>
    <w:tmpl w:val="000001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525F558A"/>
    <w:multiLevelType w:val="hybridMultilevel"/>
    <w:tmpl w:val="90B61BC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D60FC9"/>
    <w:multiLevelType w:val="hybridMultilevel"/>
    <w:tmpl w:val="AF062E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C3750"/>
    <w:multiLevelType w:val="hybridMultilevel"/>
    <w:tmpl w:val="633EC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DE"/>
    <w:rsid w:val="003052DE"/>
    <w:rsid w:val="00751461"/>
    <w:rsid w:val="00951285"/>
    <w:rsid w:val="00983426"/>
    <w:rsid w:val="00D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Заголовок №2"/>
    <w:basedOn w:val="2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3"/>
    <w:basedOn w:val="22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52DE"/>
    <w:pPr>
      <w:widowControl w:val="0"/>
      <w:shd w:val="clear" w:color="auto" w:fill="FFFFFF"/>
      <w:spacing w:after="0" w:line="254" w:lineRule="exact"/>
      <w:jc w:val="center"/>
    </w:pPr>
    <w:rPr>
      <w:rFonts w:ascii="Arial" w:hAnsi="Arial" w:cs="Arial"/>
      <w:sz w:val="17"/>
      <w:szCs w:val="17"/>
    </w:rPr>
  </w:style>
  <w:style w:type="paragraph" w:customStyle="1" w:styleId="21">
    <w:name w:val="Заголовок №21"/>
    <w:basedOn w:val="a"/>
    <w:link w:val="2"/>
    <w:rsid w:val="003052DE"/>
    <w:pPr>
      <w:widowControl w:val="0"/>
      <w:shd w:val="clear" w:color="auto" w:fill="FFFFFF"/>
      <w:spacing w:before="300" w:after="480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10">
    <w:name w:val="Основной текст (2)1"/>
    <w:basedOn w:val="a"/>
    <w:link w:val="22"/>
    <w:rsid w:val="003052D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1">
    <w:name w:val="Основной текст (6)1"/>
    <w:basedOn w:val="a"/>
    <w:link w:val="6"/>
    <w:rsid w:val="003052DE"/>
    <w:pPr>
      <w:widowControl w:val="0"/>
      <w:shd w:val="clear" w:color="auto" w:fill="FFFFFF"/>
      <w:spacing w:before="420" w:after="18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91">
    <w:name w:val="Основной текст (9)1"/>
    <w:basedOn w:val="a"/>
    <w:link w:val="9"/>
    <w:rsid w:val="003052DE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305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052DE"/>
    <w:rPr>
      <w:b/>
      <w:bCs/>
    </w:rPr>
  </w:style>
  <w:style w:type="character" w:styleId="a6">
    <w:name w:val="Emphasis"/>
    <w:basedOn w:val="a0"/>
    <w:uiPriority w:val="20"/>
    <w:qFormat/>
    <w:rsid w:val="003052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30">
    <w:name w:val="Основной текст (3)"/>
    <w:basedOn w:val="3"/>
    <w:rsid w:val="003052DE"/>
    <w:rPr>
      <w:rFonts w:ascii="Arial" w:hAnsi="Arial" w:cs="Arial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">
    <w:name w:val="Заголовок №2"/>
    <w:basedOn w:val="2"/>
    <w:rsid w:val="003052D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3052DE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3052DE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(2) + Полужирный"/>
    <w:aliases w:val="Курсив3"/>
    <w:basedOn w:val="22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90">
    <w:name w:val="Основной текст (9)"/>
    <w:basedOn w:val="9"/>
    <w:rsid w:val="003052D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52DE"/>
    <w:pPr>
      <w:widowControl w:val="0"/>
      <w:shd w:val="clear" w:color="auto" w:fill="FFFFFF"/>
      <w:spacing w:after="0" w:line="254" w:lineRule="exact"/>
      <w:jc w:val="center"/>
    </w:pPr>
    <w:rPr>
      <w:rFonts w:ascii="Arial" w:hAnsi="Arial" w:cs="Arial"/>
      <w:sz w:val="17"/>
      <w:szCs w:val="17"/>
    </w:rPr>
  </w:style>
  <w:style w:type="paragraph" w:customStyle="1" w:styleId="21">
    <w:name w:val="Заголовок №21"/>
    <w:basedOn w:val="a"/>
    <w:link w:val="2"/>
    <w:rsid w:val="003052DE"/>
    <w:pPr>
      <w:widowControl w:val="0"/>
      <w:shd w:val="clear" w:color="auto" w:fill="FFFFFF"/>
      <w:spacing w:before="300" w:after="4800" w:line="240" w:lineRule="atLeast"/>
      <w:jc w:val="center"/>
      <w:outlineLvl w:val="1"/>
    </w:pPr>
    <w:rPr>
      <w:rFonts w:ascii="Arial" w:hAnsi="Arial" w:cs="Arial"/>
      <w:b/>
      <w:bCs/>
      <w:sz w:val="19"/>
      <w:szCs w:val="19"/>
    </w:rPr>
  </w:style>
  <w:style w:type="paragraph" w:customStyle="1" w:styleId="210">
    <w:name w:val="Основной текст (2)1"/>
    <w:basedOn w:val="a"/>
    <w:link w:val="22"/>
    <w:rsid w:val="003052D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1">
    <w:name w:val="Основной текст (6)1"/>
    <w:basedOn w:val="a"/>
    <w:link w:val="6"/>
    <w:rsid w:val="003052DE"/>
    <w:pPr>
      <w:widowControl w:val="0"/>
      <w:shd w:val="clear" w:color="auto" w:fill="FFFFFF"/>
      <w:spacing w:before="420" w:after="180"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91">
    <w:name w:val="Основной текст (9)1"/>
    <w:basedOn w:val="a"/>
    <w:link w:val="9"/>
    <w:rsid w:val="003052DE"/>
    <w:pPr>
      <w:widowControl w:val="0"/>
      <w:shd w:val="clear" w:color="auto" w:fill="FFFFFF"/>
      <w:spacing w:after="0" w:line="250" w:lineRule="exact"/>
      <w:ind w:firstLine="32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3052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052DE"/>
    <w:rPr>
      <w:b/>
      <w:bCs/>
    </w:rPr>
  </w:style>
  <w:style w:type="character" w:styleId="a6">
    <w:name w:val="Emphasis"/>
    <w:basedOn w:val="a0"/>
    <w:uiPriority w:val="20"/>
    <w:qFormat/>
    <w:rsid w:val="0030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ED1-B6C1-4911-9F9E-23D8A5F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5070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2020-05-24T19:11:00Z</dcterms:created>
  <dcterms:modified xsi:type="dcterms:W3CDTF">2020-05-24T19:59:00Z</dcterms:modified>
</cp:coreProperties>
</file>